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F7589" w:rsidP="006F7589" w:rsidRDefault="006F7589" w14:paraId="3D26224C" wp14:textId="77777777">
      <w:r>
        <w:t xml:space="preserve">                                                 </w:t>
      </w:r>
      <w:r w:rsidR="009B00E8">
        <w:t>ATTEN</w:t>
      </w:r>
      <w:r>
        <w:t>TION RAPPEL A TOUS LES MEMBRES DU SYNDICAT</w:t>
      </w:r>
    </w:p>
    <w:p xmlns:wp14="http://schemas.microsoft.com/office/word/2010/wordml" w:rsidR="00CD2B5C" w:rsidP="006F7589" w:rsidRDefault="006F7589" w14:paraId="5629FA65" wp14:textId="32F943C5">
      <w:r w:rsidR="63C5E93D">
        <w:rPr/>
        <w:t xml:space="preserve">                                                               ET</w:t>
      </w:r>
      <w:r w:rsidR="63C5E93D">
        <w:rPr/>
        <w:t xml:space="preserve"> A </w:t>
      </w:r>
      <w:r w:rsidR="63C5E93D">
        <w:rPr/>
        <w:t>TOUS LES POLICIERS MUNICIPAUX</w:t>
      </w:r>
    </w:p>
    <w:p xmlns:wp14="http://schemas.microsoft.com/office/word/2010/wordml" w:rsidR="006F7589" w:rsidP="006F1222" w:rsidRDefault="006F7589" w14:paraId="672A6659" wp14:textId="77777777">
      <w:pPr>
        <w:ind w:left="3828"/>
      </w:pPr>
    </w:p>
    <w:p xmlns:wp14="http://schemas.microsoft.com/office/word/2010/wordml" w:rsidR="009B00E8" w:rsidP="006F1222" w:rsidRDefault="009B00E8" w14:paraId="0A37501D" wp14:textId="77777777">
      <w:pPr>
        <w:ind w:left="3828"/>
      </w:pPr>
    </w:p>
    <w:p xmlns:wp14="http://schemas.microsoft.com/office/word/2010/wordml" w:rsidR="009B00E8" w:rsidP="006F1222" w:rsidRDefault="006F7589" w14:paraId="7B67FB33" wp14:textId="77777777">
      <w:pPr>
        <w:ind w:left="3828"/>
      </w:pPr>
      <w:r>
        <w:t xml:space="preserve">Chères </w:t>
      </w:r>
      <w:r w:rsidR="004F151E">
        <w:t>Collègues,</w:t>
      </w:r>
    </w:p>
    <w:p xmlns:wp14="http://schemas.microsoft.com/office/word/2010/wordml" w:rsidR="006F7589" w:rsidP="006F7589" w:rsidRDefault="006F7589" w14:paraId="5DAB6C7B" wp14:textId="77777777">
      <w:pPr>
        <w:ind w:left="3828"/>
        <w:jc w:val="both"/>
      </w:pPr>
    </w:p>
    <w:p xmlns:wp14="http://schemas.microsoft.com/office/word/2010/wordml" w:rsidR="00CD2B5C" w:rsidP="00540E27" w:rsidRDefault="006F7589" w14:paraId="098CA852" wp14:textId="77777777">
      <w:pPr>
        <w:jc w:val="both"/>
      </w:pPr>
      <w:r>
        <w:t>Le Décret n° 2014-513 du 20 mai 2014 a instauré un nouveau régime indemnitaire tenant compte des fonctions, des sujétions, de l’expertise et de l’engagement professionnel (R.I.F.S.E.E.P.).</w:t>
      </w:r>
    </w:p>
    <w:p xmlns:wp14="http://schemas.microsoft.com/office/word/2010/wordml" w:rsidR="006F7589" w:rsidP="00540E27" w:rsidRDefault="006F7589" w14:paraId="447A5310" wp14:textId="77777777">
      <w:pPr>
        <w:jc w:val="both"/>
      </w:pPr>
      <w:r>
        <w:t>Ce dispositif concerne l’ensemble des fonctionnaires d’Etat et par conséquent, les cadres d’emplois équivalents de la fonction publique territoriale (Substitution progressive à l’ancien Régime Indemnitaire par arrêté de chaque ministère pour les corps et emplois concernés. (Article 1 à 8 du Décret)</w:t>
      </w:r>
    </w:p>
    <w:p xmlns:wp14="http://schemas.microsoft.com/office/word/2010/wordml" w:rsidR="006F7589" w:rsidP="00540E27" w:rsidRDefault="006F7589" w14:paraId="5FEED2D9" wp14:textId="77777777">
      <w:pPr>
        <w:jc w:val="both"/>
      </w:pPr>
      <w:r>
        <w:t>Ce Décret ne concerne pas les Policiers Municipaux et les Sapeurs-Pompiers car il n’existe pas d’équivalence.</w:t>
      </w:r>
    </w:p>
    <w:p xmlns:wp14="http://schemas.microsoft.com/office/word/2010/wordml" w:rsidR="00C079C2" w:rsidP="00540E27" w:rsidRDefault="00C079C2" w14:paraId="5C8089D6" wp14:textId="77777777">
      <w:pPr>
        <w:jc w:val="both"/>
      </w:pPr>
      <w:r>
        <w:t xml:space="preserve">Mais aujourd’hui, le Syndicat National des Policiers Municipaux alerte les Policiers Municipaux. De nombreuses dérives ont été constatées de la part des Collectivités Territoriales concernant le Régime indemnitaire des Policiers Municipaux. Ces dernières, au nom d’une parité et égalité avec les autres corps de métiers de la F.P.T. modifient le régime indemnitaire spécifique aux agents de Police municipale sous forme de R.I.F.S.E.E.P. </w:t>
      </w:r>
      <w:r w:rsidR="00E53EA6">
        <w:t>(De</w:t>
      </w:r>
      <w:r>
        <w:t xml:space="preserve"> nombreux dossiers en cours déposés </w:t>
      </w:r>
      <w:r w:rsidR="004F151E">
        <w:t>auprès</w:t>
      </w:r>
      <w:bookmarkStart w:name="_GoBack" w:id="0"/>
      <w:bookmarkEnd w:id="0"/>
      <w:r w:rsidR="004F151E">
        <w:t xml:space="preserve"> de notre syndicat et suivis</w:t>
      </w:r>
      <w:r>
        <w:t xml:space="preserve"> par notre service juridique).</w:t>
      </w:r>
    </w:p>
    <w:p xmlns:wp14="http://schemas.microsoft.com/office/word/2010/wordml" w:rsidR="00C079C2" w:rsidP="00540E27" w:rsidRDefault="00C079C2" w14:paraId="3CA7EEA2" wp14:textId="502699A8">
      <w:pPr>
        <w:jc w:val="both"/>
      </w:pPr>
      <w:r w:rsidR="63C5E93D">
        <w:rPr/>
        <w:t xml:space="preserve">Nous attirons </w:t>
      </w:r>
      <w:r w:rsidR="63C5E93D">
        <w:rPr/>
        <w:t xml:space="preserve">donc l’attention de </w:t>
      </w:r>
      <w:r w:rsidR="63C5E93D">
        <w:rPr/>
        <w:t xml:space="preserve">l’ensemble des agents de Police municipale, ainsi que </w:t>
      </w:r>
      <w:r w:rsidR="63C5E93D">
        <w:rPr/>
        <w:t xml:space="preserve">de </w:t>
      </w:r>
      <w:r w:rsidR="63C5E93D">
        <w:rPr/>
        <w:t>nos adhérents, sur les arrêtés signés concernant leur régime indemnitaire (IAT, ISF, NBI). En effet, lors de nos différentes interventions pour défendre les intérêts de nos collègues syndiqués ou non, il apparait que sur les arrêtés d’IAT il n’apparait plus le taux (1 à 8), ni la valeur du point d’IAT (en fonction du grade détenu) et la mention précisant que la prime sera indexée sur la valeur du point d’indice. Tout ceci étant remplacé par un</w:t>
      </w:r>
      <w:r w:rsidR="63C5E93D">
        <w:rPr/>
        <w:t xml:space="preserve"> </w:t>
      </w:r>
      <w:r w:rsidR="63C5E93D">
        <w:rPr/>
        <w:t>montant</w:t>
      </w:r>
      <w:r w:rsidR="63C5E93D">
        <w:rPr/>
        <w:t xml:space="preserve"> </w:t>
      </w:r>
      <w:r w:rsidR="63C5E93D">
        <w:rPr/>
        <w:t>global point. Les feuilles de paies ne comportent plus qu’une seule ligne indiquant le montant global de votre régime indemnitaire. Tout ceci est à notre sens contraire aux textes en vigueur et entraine de surcroît une stagnation de votre régime indemnitaire. (Exemple : Prise d’échelon entrainant l’augmentation de l’indemnité spéciale de fonction (%) entraine de la part des collectivités territoriales une diminution du taux d’IAT pour ne pas dépasser le montant global de votre régime indemnitaire que vous avez signé. Ce système pervers pourra avoir des conséquences dans l’avenir sur la prise en compte de notre régime indemnitaire pour le calcul de nos droits à pensions de retraites, qui dit stagnation de notre régime indemnitaire dit pas d’évolution de salaire et le</w:t>
      </w:r>
      <w:r w:rsidR="63C5E93D">
        <w:rPr/>
        <w:t xml:space="preserve"> </w:t>
      </w:r>
      <w:r w:rsidR="63C5E93D">
        <w:rPr/>
        <w:t>strict minimum d’évolution de notre droit à pension de retraite.</w:t>
      </w:r>
    </w:p>
    <w:p xmlns:wp14="http://schemas.microsoft.com/office/word/2010/wordml" w:rsidR="004F151E" w:rsidP="00540E27" w:rsidRDefault="004F151E" w14:paraId="2CB813D6" wp14:textId="698AB910">
      <w:pPr>
        <w:jc w:val="both"/>
      </w:pPr>
      <w:r w:rsidR="63C5E93D">
        <w:rPr/>
        <w:t xml:space="preserve">Le Syndicat National des Policiers Municipaux alerte </w:t>
      </w:r>
      <w:r w:rsidR="63C5E93D">
        <w:rPr/>
        <w:t xml:space="preserve">ses </w:t>
      </w:r>
      <w:r w:rsidR="63C5E93D">
        <w:rPr/>
        <w:t>adhérents</w:t>
      </w:r>
      <w:r w:rsidR="63C5E93D">
        <w:rPr/>
        <w:t xml:space="preserve"> </w:t>
      </w:r>
      <w:r w:rsidR="63C5E93D">
        <w:rPr/>
        <w:t>ainsi que l’ensemble de la profession sur ces manipulations qui n’ont d’autres buts que de limiter la masse salariale des collectivités afin d’économies budgétaire.</w:t>
      </w:r>
    </w:p>
    <w:p xmlns:wp14="http://schemas.microsoft.com/office/word/2010/wordml" w:rsidR="004F151E" w:rsidP="00540E27" w:rsidRDefault="004F151E" w14:paraId="5AC39318" wp14:textId="77777777">
      <w:pPr>
        <w:jc w:val="both"/>
      </w:pPr>
      <w:r>
        <w:t>SOYEZ VIGILANT</w:t>
      </w:r>
    </w:p>
    <w:p xmlns:wp14="http://schemas.microsoft.com/office/word/2010/wordml" w:rsidR="004F151E" w:rsidP="00540E27" w:rsidRDefault="004F151E" w14:paraId="2BAC65EF" wp14:textId="77777777">
      <w:pPr>
        <w:jc w:val="both"/>
      </w:pPr>
      <w:r>
        <w:t>La Direction Juridique du S.N.P.M.</w:t>
      </w:r>
    </w:p>
    <w:p xmlns:wp14="http://schemas.microsoft.com/office/word/2010/wordml" w:rsidR="00CD2B5C" w:rsidP="00540E27" w:rsidRDefault="00CD2B5C" w14:paraId="02EB378F" wp14:textId="77777777">
      <w:pPr>
        <w:jc w:val="both"/>
      </w:pPr>
    </w:p>
    <w:p xmlns:wp14="http://schemas.microsoft.com/office/word/2010/wordml" w:rsidR="00CD2B5C" w:rsidP="00E85A37" w:rsidRDefault="00CD2B5C" w14:paraId="6A05A809" wp14:textId="77777777"/>
    <w:p xmlns:wp14="http://schemas.microsoft.com/office/word/2010/wordml" w:rsidR="00CD2B5C" w:rsidP="00D26B2F" w:rsidRDefault="00CD2B5C" w14:paraId="5A39BBE3" wp14:textId="77777777">
      <w:pPr>
        <w:ind w:left="5670"/>
      </w:pPr>
    </w:p>
    <w:p xmlns:wp14="http://schemas.microsoft.com/office/word/2010/wordml" w:rsidRPr="00235958" w:rsidR="00CD2B5C" w:rsidP="00D26B2F" w:rsidRDefault="00CD2B5C" w14:paraId="41C8F396" wp14:textId="77777777"/>
    <w:p xmlns:wp14="http://schemas.microsoft.com/office/word/2010/wordml" w:rsidRPr="00235958" w:rsidR="00CD2B5C" w:rsidP="00235958" w:rsidRDefault="00CD2B5C" w14:paraId="72A3D3EC" wp14:textId="77777777"/>
    <w:p xmlns:wp14="http://schemas.microsoft.com/office/word/2010/wordml" w:rsidRPr="00235958" w:rsidR="00CD2B5C" w:rsidP="00235958" w:rsidRDefault="00CD2B5C" w14:paraId="0D0B940D" wp14:textId="77777777">
      <w:pPr>
        <w:tabs>
          <w:tab w:val="left" w:pos="2190"/>
        </w:tabs>
      </w:pPr>
    </w:p>
    <w:sectPr w:rsidRPr="00235958" w:rsidR="00CD2B5C" w:rsidSect="00AF2EBD">
      <w:footerReference w:type="default" r:id="rId7"/>
      <w:headerReference w:type="first" r:id="rId8"/>
      <w:pgSz w:w="11906" w:h="16838" w:orient="portrait"/>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E188A" w:rsidP="00BD1376" w:rsidRDefault="003E188A" w14:paraId="44EAFD9C" wp14:textId="77777777">
      <w:pPr>
        <w:spacing w:after="0" w:line="240" w:lineRule="auto"/>
      </w:pPr>
      <w:r>
        <w:separator/>
      </w:r>
    </w:p>
  </w:endnote>
  <w:endnote w:type="continuationSeparator" w:id="0">
    <w:p xmlns:wp14="http://schemas.microsoft.com/office/word/2010/wordml" w:rsidR="003E188A" w:rsidP="00BD1376" w:rsidRDefault="003E188A" w14:paraId="4B94D5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D2B5C" w:rsidRDefault="003E188A" w14:paraId="0EB546F9" wp14:textId="77777777">
    <w:pPr>
      <w:pStyle w:val="Pieddepage"/>
    </w:pPr>
    <w:r>
      <w:fldChar w:fldCharType="begin"/>
    </w:r>
    <w:r>
      <w:instrText>PAGE   \* MERGEFORMAT</w:instrText>
    </w:r>
    <w:r>
      <w:fldChar w:fldCharType="separate"/>
    </w:r>
    <w:r w:rsidR="004F151E">
      <w:rPr>
        <w:noProof/>
      </w:rPr>
      <w:t>2</w:t>
    </w:r>
    <w:r>
      <w:rPr>
        <w:noProof/>
      </w:rPr>
      <w:fldChar w:fldCharType="end"/>
    </w:r>
  </w:p>
  <w:p xmlns:wp14="http://schemas.microsoft.com/office/word/2010/wordml" w:rsidR="00CD2B5C" w:rsidRDefault="00CD2B5C" w14:paraId="60061E4C" wp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E188A" w:rsidP="00BD1376" w:rsidRDefault="003E188A" w14:paraId="3DEEC669" wp14:textId="77777777">
      <w:pPr>
        <w:spacing w:after="0" w:line="240" w:lineRule="auto"/>
      </w:pPr>
      <w:r>
        <w:separator/>
      </w:r>
    </w:p>
  </w:footnote>
  <w:footnote w:type="continuationSeparator" w:id="0">
    <w:p xmlns:wp14="http://schemas.microsoft.com/office/word/2010/wordml" w:rsidR="003E188A" w:rsidP="00BD1376" w:rsidRDefault="003E188A" w14:paraId="3656B9AB"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CD2B5C" w:rsidRDefault="004F151E" w14:paraId="0E27B00A" wp14:textId="77777777">
    <w:pPr>
      <w:pStyle w:val="En-tte"/>
      <w:rPr>
        <w:noProof/>
        <w:lang w:eastAsia="fr-FR"/>
      </w:rPr>
    </w:pPr>
    <w:r>
      <w:rPr>
        <w:noProof/>
        <w:lang w:eastAsia="fr-FR"/>
      </w:rPr>
      <w:drawing>
        <wp:inline xmlns:wp14="http://schemas.microsoft.com/office/word/2010/wordprocessingDrawing" distT="0" distB="0" distL="0" distR="0" wp14:anchorId="12B2EE2B" wp14:editId="7777777">
          <wp:extent cx="6591300" cy="1228725"/>
          <wp:effectExtent l="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20243"/>
    <w:multiLevelType w:val="hybridMultilevel"/>
    <w:tmpl w:val="D50E32E2"/>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47B8207A"/>
    <w:multiLevelType w:val="hybridMultilevel"/>
    <w:tmpl w:val="3A485A96"/>
    <w:lvl w:ilvl="0" w:tplc="040C000B">
      <w:start w:val="1"/>
      <w:numFmt w:val="bullet"/>
      <w:lvlText w:val=""/>
      <w:lvlJc w:val="left"/>
      <w:pPr>
        <w:ind w:left="720" w:hanging="360"/>
      </w:pPr>
      <w:rPr>
        <w:rFonts w:hint="default" w:ascii="Wingdings" w:hAnsi="Wingdings" w:cs="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7DCB26F9"/>
    <w:multiLevelType w:val="hybridMultilevel"/>
    <w:tmpl w:val="7354E9C0"/>
    <w:lvl w:ilvl="0" w:tplc="040C000B">
      <w:start w:val="1"/>
      <w:numFmt w:val="bullet"/>
      <w:lvlText w:val=""/>
      <w:lvlJc w:val="left"/>
      <w:pPr>
        <w:ind w:left="720" w:hanging="360"/>
      </w:pPr>
      <w:rPr>
        <w:rFonts w:hint="default" w:ascii="Wingdings" w:hAnsi="Wingdings" w:cs="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76"/>
    <w:rsid w:val="000F6280"/>
    <w:rsid w:val="00111129"/>
    <w:rsid w:val="001224C6"/>
    <w:rsid w:val="001428E4"/>
    <w:rsid w:val="00181746"/>
    <w:rsid w:val="00233259"/>
    <w:rsid w:val="00235958"/>
    <w:rsid w:val="00235C10"/>
    <w:rsid w:val="00282FCD"/>
    <w:rsid w:val="002831F0"/>
    <w:rsid w:val="002832AF"/>
    <w:rsid w:val="002B12D4"/>
    <w:rsid w:val="002C772B"/>
    <w:rsid w:val="00300F19"/>
    <w:rsid w:val="00335476"/>
    <w:rsid w:val="00393D21"/>
    <w:rsid w:val="003E188A"/>
    <w:rsid w:val="00433095"/>
    <w:rsid w:val="00440C0E"/>
    <w:rsid w:val="00483B43"/>
    <w:rsid w:val="004D6360"/>
    <w:rsid w:val="004F151E"/>
    <w:rsid w:val="00500410"/>
    <w:rsid w:val="00540E27"/>
    <w:rsid w:val="0058521F"/>
    <w:rsid w:val="0060360A"/>
    <w:rsid w:val="00671551"/>
    <w:rsid w:val="006A7EAA"/>
    <w:rsid w:val="006F04B3"/>
    <w:rsid w:val="006F1222"/>
    <w:rsid w:val="006F71D3"/>
    <w:rsid w:val="006F7589"/>
    <w:rsid w:val="007166CD"/>
    <w:rsid w:val="007342DB"/>
    <w:rsid w:val="0074793F"/>
    <w:rsid w:val="007A7702"/>
    <w:rsid w:val="007B1967"/>
    <w:rsid w:val="007C2F39"/>
    <w:rsid w:val="0080214A"/>
    <w:rsid w:val="0081516F"/>
    <w:rsid w:val="008246D3"/>
    <w:rsid w:val="00866EDB"/>
    <w:rsid w:val="0087440C"/>
    <w:rsid w:val="008A1E90"/>
    <w:rsid w:val="0091522B"/>
    <w:rsid w:val="009531E5"/>
    <w:rsid w:val="00987402"/>
    <w:rsid w:val="009B00E8"/>
    <w:rsid w:val="009C233B"/>
    <w:rsid w:val="00A31D2F"/>
    <w:rsid w:val="00A44EBF"/>
    <w:rsid w:val="00A45F75"/>
    <w:rsid w:val="00AB52AE"/>
    <w:rsid w:val="00AF2EBD"/>
    <w:rsid w:val="00B07030"/>
    <w:rsid w:val="00B34FAF"/>
    <w:rsid w:val="00BB1B4B"/>
    <w:rsid w:val="00BD1376"/>
    <w:rsid w:val="00C079C2"/>
    <w:rsid w:val="00C10F1F"/>
    <w:rsid w:val="00C93A5F"/>
    <w:rsid w:val="00CC34BF"/>
    <w:rsid w:val="00CD2B5C"/>
    <w:rsid w:val="00D10099"/>
    <w:rsid w:val="00D26B2F"/>
    <w:rsid w:val="00D426D7"/>
    <w:rsid w:val="00D44BDF"/>
    <w:rsid w:val="00D80997"/>
    <w:rsid w:val="00E53EA6"/>
    <w:rsid w:val="00E74A22"/>
    <w:rsid w:val="00E85A37"/>
    <w:rsid w:val="00E92DDB"/>
    <w:rsid w:val="00EA29A3"/>
    <w:rsid w:val="00EA3BE1"/>
    <w:rsid w:val="00F818DD"/>
    <w:rsid w:val="00FD2E3B"/>
    <w:rsid w:val="63C5E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EA345D"/>
  <w15:docId w15:val="{EA20380B-4F5A-434C-BE8D-47DB354A91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4BDF"/>
    <w:pPr>
      <w:spacing w:after="160" w:line="259" w:lineRule="auto"/>
    </w:pPr>
    <w:rPr>
      <w:rFonts w:cs="Calibri"/>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rsid w:val="00BD1376"/>
    <w:pPr>
      <w:tabs>
        <w:tab w:val="center" w:pos="4536"/>
        <w:tab w:val="right" w:pos="9072"/>
      </w:tabs>
      <w:spacing w:after="0" w:line="240" w:lineRule="auto"/>
    </w:pPr>
  </w:style>
  <w:style w:type="character" w:styleId="En-tteCar" w:customStyle="1">
    <w:name w:val="En-tête Car"/>
    <w:basedOn w:val="Policepardfaut"/>
    <w:link w:val="En-tte"/>
    <w:uiPriority w:val="99"/>
    <w:rsid w:val="00BD1376"/>
  </w:style>
  <w:style w:type="paragraph" w:styleId="Pieddepage">
    <w:name w:val="footer"/>
    <w:basedOn w:val="Normal"/>
    <w:link w:val="PieddepageCar"/>
    <w:uiPriority w:val="99"/>
    <w:rsid w:val="00BD1376"/>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BD1376"/>
  </w:style>
  <w:style w:type="paragraph" w:styleId="Paragraphedeliste">
    <w:name w:val="List Paragraph"/>
    <w:basedOn w:val="Normal"/>
    <w:uiPriority w:val="99"/>
    <w:qFormat/>
    <w:rsid w:val="00B34FAF"/>
    <w:pPr>
      <w:ind w:left="720"/>
      <w:contextualSpacing/>
    </w:pPr>
  </w:style>
  <w:style w:type="character" w:styleId="Lienhypertexte">
    <w:name w:val="Hyperlink"/>
    <w:basedOn w:val="Policepardfaut"/>
    <w:uiPriority w:val="99"/>
    <w:rsid w:val="008A1E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05610">
      <w:marLeft w:val="0"/>
      <w:marRight w:val="0"/>
      <w:marTop w:val="0"/>
      <w:marBottom w:val="0"/>
      <w:divBdr>
        <w:top w:val="none" w:sz="0" w:space="0" w:color="auto"/>
        <w:left w:val="none" w:sz="0" w:space="0" w:color="auto"/>
        <w:bottom w:val="none" w:sz="0" w:space="0" w:color="auto"/>
        <w:right w:val="none" w:sz="0" w:space="0" w:color="auto"/>
      </w:divBdr>
      <w:divsChild>
        <w:div w:id="1688605617">
          <w:marLeft w:val="120"/>
          <w:marRight w:val="120"/>
          <w:marTop w:val="120"/>
          <w:marBottom w:val="120"/>
          <w:divBdr>
            <w:top w:val="none" w:sz="0" w:space="0" w:color="auto"/>
            <w:left w:val="none" w:sz="0" w:space="0" w:color="auto"/>
            <w:bottom w:val="none" w:sz="0" w:space="0" w:color="auto"/>
            <w:right w:val="none" w:sz="0" w:space="0" w:color="auto"/>
          </w:divBdr>
        </w:div>
        <w:div w:id="1688605618">
          <w:marLeft w:val="120"/>
          <w:marRight w:val="120"/>
          <w:marTop w:val="120"/>
          <w:marBottom w:val="120"/>
          <w:divBdr>
            <w:top w:val="none" w:sz="0" w:space="0" w:color="auto"/>
            <w:left w:val="none" w:sz="0" w:space="0" w:color="auto"/>
            <w:bottom w:val="none" w:sz="0" w:space="0" w:color="auto"/>
            <w:right w:val="none" w:sz="0" w:space="0" w:color="auto"/>
          </w:divBdr>
        </w:div>
        <w:div w:id="1688605619">
          <w:marLeft w:val="120"/>
          <w:marRight w:val="120"/>
          <w:marTop w:val="120"/>
          <w:marBottom w:val="120"/>
          <w:divBdr>
            <w:top w:val="none" w:sz="0" w:space="0" w:color="auto"/>
            <w:left w:val="none" w:sz="0" w:space="0" w:color="auto"/>
            <w:bottom w:val="none" w:sz="0" w:space="0" w:color="auto"/>
            <w:right w:val="none" w:sz="0" w:space="0" w:color="auto"/>
          </w:divBdr>
        </w:div>
      </w:divsChild>
    </w:div>
    <w:div w:id="1688605613">
      <w:marLeft w:val="0"/>
      <w:marRight w:val="0"/>
      <w:marTop w:val="0"/>
      <w:marBottom w:val="0"/>
      <w:divBdr>
        <w:top w:val="none" w:sz="0" w:space="0" w:color="auto"/>
        <w:left w:val="none" w:sz="0" w:space="0" w:color="auto"/>
        <w:bottom w:val="none" w:sz="0" w:space="0" w:color="auto"/>
        <w:right w:val="none" w:sz="0" w:space="0" w:color="auto"/>
      </w:divBdr>
      <w:divsChild>
        <w:div w:id="1688605614">
          <w:marLeft w:val="120"/>
          <w:marRight w:val="120"/>
          <w:marTop w:val="120"/>
          <w:marBottom w:val="120"/>
          <w:divBdr>
            <w:top w:val="none" w:sz="0" w:space="0" w:color="auto"/>
            <w:left w:val="none" w:sz="0" w:space="0" w:color="auto"/>
            <w:bottom w:val="none" w:sz="0" w:space="0" w:color="auto"/>
            <w:right w:val="none" w:sz="0" w:space="0" w:color="auto"/>
          </w:divBdr>
        </w:div>
        <w:div w:id="1688605615">
          <w:marLeft w:val="120"/>
          <w:marRight w:val="120"/>
          <w:marTop w:val="120"/>
          <w:marBottom w:val="120"/>
          <w:divBdr>
            <w:top w:val="none" w:sz="0" w:space="0" w:color="auto"/>
            <w:left w:val="none" w:sz="0" w:space="0" w:color="auto"/>
            <w:bottom w:val="none" w:sz="0" w:space="0" w:color="auto"/>
            <w:right w:val="none" w:sz="0" w:space="0" w:color="auto"/>
          </w:divBdr>
        </w:div>
        <w:div w:id="1688605629">
          <w:marLeft w:val="120"/>
          <w:marRight w:val="120"/>
          <w:marTop w:val="120"/>
          <w:marBottom w:val="120"/>
          <w:divBdr>
            <w:top w:val="none" w:sz="0" w:space="0" w:color="auto"/>
            <w:left w:val="none" w:sz="0" w:space="0" w:color="auto"/>
            <w:bottom w:val="none" w:sz="0" w:space="0" w:color="auto"/>
            <w:right w:val="none" w:sz="0" w:space="0" w:color="auto"/>
          </w:divBdr>
        </w:div>
      </w:divsChild>
    </w:div>
    <w:div w:id="1688605620">
      <w:marLeft w:val="0"/>
      <w:marRight w:val="0"/>
      <w:marTop w:val="0"/>
      <w:marBottom w:val="0"/>
      <w:divBdr>
        <w:top w:val="none" w:sz="0" w:space="0" w:color="auto"/>
        <w:left w:val="none" w:sz="0" w:space="0" w:color="auto"/>
        <w:bottom w:val="none" w:sz="0" w:space="0" w:color="auto"/>
        <w:right w:val="none" w:sz="0" w:space="0" w:color="auto"/>
      </w:divBdr>
      <w:divsChild>
        <w:div w:id="1688605611">
          <w:marLeft w:val="120"/>
          <w:marRight w:val="120"/>
          <w:marTop w:val="120"/>
          <w:marBottom w:val="120"/>
          <w:divBdr>
            <w:top w:val="none" w:sz="0" w:space="0" w:color="auto"/>
            <w:left w:val="none" w:sz="0" w:space="0" w:color="auto"/>
            <w:bottom w:val="none" w:sz="0" w:space="0" w:color="auto"/>
            <w:right w:val="none" w:sz="0" w:space="0" w:color="auto"/>
          </w:divBdr>
        </w:div>
        <w:div w:id="1688605622">
          <w:marLeft w:val="120"/>
          <w:marRight w:val="120"/>
          <w:marTop w:val="120"/>
          <w:marBottom w:val="120"/>
          <w:divBdr>
            <w:top w:val="none" w:sz="0" w:space="0" w:color="auto"/>
            <w:left w:val="none" w:sz="0" w:space="0" w:color="auto"/>
            <w:bottom w:val="none" w:sz="0" w:space="0" w:color="auto"/>
            <w:right w:val="none" w:sz="0" w:space="0" w:color="auto"/>
          </w:divBdr>
        </w:div>
        <w:div w:id="1688605623">
          <w:marLeft w:val="120"/>
          <w:marRight w:val="120"/>
          <w:marTop w:val="120"/>
          <w:marBottom w:val="120"/>
          <w:divBdr>
            <w:top w:val="none" w:sz="0" w:space="0" w:color="auto"/>
            <w:left w:val="none" w:sz="0" w:space="0" w:color="auto"/>
            <w:bottom w:val="none" w:sz="0" w:space="0" w:color="auto"/>
            <w:right w:val="none" w:sz="0" w:space="0" w:color="auto"/>
          </w:divBdr>
        </w:div>
        <w:div w:id="1688605626">
          <w:marLeft w:val="120"/>
          <w:marRight w:val="120"/>
          <w:marTop w:val="120"/>
          <w:marBottom w:val="120"/>
          <w:divBdr>
            <w:top w:val="none" w:sz="0" w:space="0" w:color="auto"/>
            <w:left w:val="none" w:sz="0" w:space="0" w:color="auto"/>
            <w:bottom w:val="none" w:sz="0" w:space="0" w:color="auto"/>
            <w:right w:val="none" w:sz="0" w:space="0" w:color="auto"/>
          </w:divBdr>
        </w:div>
      </w:divsChild>
    </w:div>
    <w:div w:id="1688605624">
      <w:marLeft w:val="0"/>
      <w:marRight w:val="0"/>
      <w:marTop w:val="0"/>
      <w:marBottom w:val="0"/>
      <w:divBdr>
        <w:top w:val="none" w:sz="0" w:space="0" w:color="auto"/>
        <w:left w:val="none" w:sz="0" w:space="0" w:color="auto"/>
        <w:bottom w:val="none" w:sz="0" w:space="0" w:color="auto"/>
        <w:right w:val="none" w:sz="0" w:space="0" w:color="auto"/>
      </w:divBdr>
    </w:div>
    <w:div w:id="1688605627">
      <w:marLeft w:val="0"/>
      <w:marRight w:val="0"/>
      <w:marTop w:val="0"/>
      <w:marBottom w:val="0"/>
      <w:divBdr>
        <w:top w:val="none" w:sz="0" w:space="0" w:color="auto"/>
        <w:left w:val="none" w:sz="0" w:space="0" w:color="auto"/>
        <w:bottom w:val="none" w:sz="0" w:space="0" w:color="auto"/>
        <w:right w:val="none" w:sz="0" w:space="0" w:color="auto"/>
      </w:divBdr>
      <w:divsChild>
        <w:div w:id="1688605609">
          <w:marLeft w:val="120"/>
          <w:marRight w:val="120"/>
          <w:marTop w:val="120"/>
          <w:marBottom w:val="120"/>
          <w:divBdr>
            <w:top w:val="none" w:sz="0" w:space="0" w:color="auto"/>
            <w:left w:val="none" w:sz="0" w:space="0" w:color="auto"/>
            <w:bottom w:val="none" w:sz="0" w:space="0" w:color="auto"/>
            <w:right w:val="none" w:sz="0" w:space="0" w:color="auto"/>
          </w:divBdr>
        </w:div>
        <w:div w:id="1688605612">
          <w:marLeft w:val="120"/>
          <w:marRight w:val="120"/>
          <w:marTop w:val="120"/>
          <w:marBottom w:val="120"/>
          <w:divBdr>
            <w:top w:val="none" w:sz="0" w:space="0" w:color="auto"/>
            <w:left w:val="none" w:sz="0" w:space="0" w:color="auto"/>
            <w:bottom w:val="none" w:sz="0" w:space="0" w:color="auto"/>
            <w:right w:val="none" w:sz="0" w:space="0" w:color="auto"/>
          </w:divBdr>
        </w:div>
        <w:div w:id="1688605616">
          <w:marLeft w:val="120"/>
          <w:marRight w:val="120"/>
          <w:marTop w:val="120"/>
          <w:marBottom w:val="120"/>
          <w:divBdr>
            <w:top w:val="none" w:sz="0" w:space="0" w:color="auto"/>
            <w:left w:val="none" w:sz="0" w:space="0" w:color="auto"/>
            <w:bottom w:val="none" w:sz="0" w:space="0" w:color="auto"/>
            <w:right w:val="none" w:sz="0" w:space="0" w:color="auto"/>
          </w:divBdr>
        </w:div>
        <w:div w:id="1688605621">
          <w:marLeft w:val="120"/>
          <w:marRight w:val="120"/>
          <w:marTop w:val="120"/>
          <w:marBottom w:val="120"/>
          <w:divBdr>
            <w:top w:val="none" w:sz="0" w:space="0" w:color="auto"/>
            <w:left w:val="none" w:sz="0" w:space="0" w:color="auto"/>
            <w:bottom w:val="none" w:sz="0" w:space="0" w:color="auto"/>
            <w:right w:val="none" w:sz="0" w:space="0" w:color="auto"/>
          </w:divBdr>
        </w:div>
        <w:div w:id="1688605625">
          <w:marLeft w:val="120"/>
          <w:marRight w:val="120"/>
          <w:marTop w:val="120"/>
          <w:marBottom w:val="120"/>
          <w:divBdr>
            <w:top w:val="none" w:sz="0" w:space="0" w:color="auto"/>
            <w:left w:val="none" w:sz="0" w:space="0" w:color="auto"/>
            <w:bottom w:val="none" w:sz="0" w:space="0" w:color="auto"/>
            <w:right w:val="none" w:sz="0" w:space="0" w:color="auto"/>
          </w:divBdr>
        </w:div>
        <w:div w:id="1688605628">
          <w:marLeft w:val="120"/>
          <w:marRight w:val="120"/>
          <w:marTop w:val="120"/>
          <w:marBottom w:val="120"/>
          <w:divBdr>
            <w:top w:val="none" w:sz="0" w:space="0" w:color="auto"/>
            <w:left w:val="none" w:sz="0" w:space="0" w:color="auto"/>
            <w:bottom w:val="none" w:sz="0" w:space="0" w:color="auto"/>
            <w:right w:val="none" w:sz="0" w:space="0" w:color="auto"/>
          </w:divBdr>
        </w:div>
        <w:div w:id="1688605630">
          <w:marLeft w:val="120"/>
          <w:marRight w:val="120"/>
          <w:marTop w:val="120"/>
          <w:marBottom w:val="120"/>
          <w:divBdr>
            <w:top w:val="none" w:sz="0" w:space="0" w:color="auto"/>
            <w:left w:val="none" w:sz="0" w:space="0" w:color="auto"/>
            <w:bottom w:val="none" w:sz="0" w:space="0" w:color="auto"/>
            <w:right w:val="none" w:sz="0" w:space="0" w:color="auto"/>
          </w:divBdr>
        </w:div>
        <w:div w:id="1688605631">
          <w:marLeft w:val="120"/>
          <w:marRight w:val="120"/>
          <w:marTop w:val="120"/>
          <w:marBottom w:val="120"/>
          <w:divBdr>
            <w:top w:val="none" w:sz="0" w:space="0" w:color="auto"/>
            <w:left w:val="none" w:sz="0" w:space="0" w:color="auto"/>
            <w:bottom w:val="none" w:sz="0" w:space="0" w:color="auto"/>
            <w:right w:val="none" w:sz="0" w:space="0" w:color="auto"/>
          </w:divBdr>
        </w:div>
      </w:divsChild>
    </w:div>
    <w:div w:id="1688605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Ecully, le 19 avril 2018</dc:title>
  <dc:subject/>
  <dc:creator>Patrick LEGER</dc:creator>
  <keywords/>
  <dc:description/>
  <lastModifiedBy>yves Bergerat</lastModifiedBy>
  <revision>3</revision>
  <dcterms:created xsi:type="dcterms:W3CDTF">2019-10-08T14:42:00.0000000Z</dcterms:created>
  <dcterms:modified xsi:type="dcterms:W3CDTF">2019-10-09T09:34:33.8162865Z</dcterms:modified>
</coreProperties>
</file>